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790" w:rsidRDefault="00C21794">
      <w:pPr>
        <w:pStyle w:val="Normal1"/>
        <w:spacing w:after="60" w:line="240" w:lineRule="auto"/>
        <w:jc w:val="center"/>
        <w:rPr>
          <w:rFonts w:ascii="Arial" w:eastAsia="Arial" w:hAnsi="Arial" w:cs="Arial"/>
          <w:b/>
        </w:rPr>
      </w:pPr>
      <w:r>
        <w:rPr>
          <w:rFonts w:ascii="Arial" w:eastAsia="Arial" w:hAnsi="Arial" w:cs="Arial"/>
          <w:b/>
        </w:rPr>
        <w:t xml:space="preserve"> HOSPITAL ESPAÑOL DE MÉXICO</w:t>
      </w:r>
    </w:p>
    <w:p w:rsidR="00284790" w:rsidRDefault="004E6B1F">
      <w:pPr>
        <w:pStyle w:val="Normal1"/>
        <w:spacing w:after="60" w:line="240" w:lineRule="auto"/>
        <w:jc w:val="center"/>
        <w:rPr>
          <w:rFonts w:ascii="Arial" w:eastAsia="Arial" w:hAnsi="Arial" w:cs="Arial"/>
          <w:b/>
        </w:rPr>
      </w:pPr>
      <w:r>
        <w:rPr>
          <w:rFonts w:ascii="Arial" w:eastAsia="Arial" w:hAnsi="Arial" w:cs="Arial"/>
          <w:b/>
        </w:rPr>
        <w:t>ESPECIALIDAD EN PEDIATRÍA</w:t>
      </w:r>
    </w:p>
    <w:p w:rsidR="00284790" w:rsidRDefault="004E6B1F">
      <w:pPr>
        <w:pStyle w:val="Normal1"/>
        <w:spacing w:after="60" w:line="240" w:lineRule="auto"/>
        <w:jc w:val="center"/>
        <w:rPr>
          <w:rFonts w:ascii="Arial" w:eastAsia="Arial" w:hAnsi="Arial" w:cs="Arial"/>
          <w:b/>
        </w:rPr>
      </w:pPr>
      <w:r>
        <w:rPr>
          <w:rFonts w:ascii="Arial" w:eastAsia="Arial" w:hAnsi="Arial" w:cs="Arial"/>
          <w:b/>
        </w:rPr>
        <w:t>INSTALACIONES EXISTENTES PARA OPERAR EL PROGRAMA ACADÉMICO</w:t>
      </w:r>
    </w:p>
    <w:p w:rsidR="00284790" w:rsidRDefault="00284790">
      <w:pPr>
        <w:pStyle w:val="Normal1"/>
        <w:spacing w:after="60" w:line="240" w:lineRule="auto"/>
        <w:rPr>
          <w:rFonts w:ascii="Arial" w:eastAsia="Arial" w:hAnsi="Arial" w:cs="Arial"/>
          <w:b/>
          <w:sz w:val="20"/>
          <w:szCs w:val="20"/>
        </w:rPr>
      </w:pPr>
    </w:p>
    <w:p w:rsidR="00284790" w:rsidRDefault="004E6B1F">
      <w:pPr>
        <w:pStyle w:val="Normal1"/>
        <w:spacing w:after="60" w:line="240" w:lineRule="auto"/>
        <w:jc w:val="both"/>
        <w:rPr>
          <w:rFonts w:ascii="Arial" w:eastAsia="Arial" w:hAnsi="Arial" w:cs="Arial"/>
          <w:sz w:val="20"/>
          <w:szCs w:val="20"/>
        </w:rPr>
      </w:pPr>
      <w:r>
        <w:rPr>
          <w:rFonts w:ascii="Arial" w:eastAsia="Arial" w:hAnsi="Arial" w:cs="Arial"/>
          <w:b/>
          <w:sz w:val="20"/>
          <w:szCs w:val="20"/>
        </w:rPr>
        <w:t>INSTRUCCIONES PARA SU LLENADO:</w:t>
      </w:r>
      <w:r>
        <w:rPr>
          <w:rFonts w:ascii="Arial" w:eastAsia="Arial" w:hAnsi="Arial" w:cs="Arial"/>
          <w:sz w:val="20"/>
          <w:szCs w:val="20"/>
        </w:rPr>
        <w:t xml:space="preserve"> Señalar con una </w:t>
      </w:r>
      <w:r>
        <w:rPr>
          <w:rFonts w:ascii="Arial" w:eastAsia="Arial" w:hAnsi="Arial" w:cs="Arial"/>
          <w:b/>
          <w:i/>
          <w:sz w:val="20"/>
          <w:szCs w:val="20"/>
        </w:rPr>
        <w:t>X</w:t>
      </w:r>
      <w:r>
        <w:rPr>
          <w:rFonts w:ascii="Arial" w:eastAsia="Arial" w:hAnsi="Arial" w:cs="Arial"/>
          <w:sz w:val="20"/>
          <w:szCs w:val="20"/>
        </w:rPr>
        <w:t xml:space="preserve"> en cada recuadro, las instalaciones con que cuenta el servicio de la especialidad a su cargo.</w:t>
      </w:r>
    </w:p>
    <w:p w:rsidR="00284790" w:rsidRDefault="004E6B1F">
      <w:pPr>
        <w:pStyle w:val="Normal1"/>
        <w:spacing w:after="60" w:line="240" w:lineRule="auto"/>
        <w:jc w:val="both"/>
        <w:rPr>
          <w:rFonts w:ascii="Arial" w:eastAsia="Arial" w:hAnsi="Arial" w:cs="Arial"/>
          <w:sz w:val="20"/>
          <w:szCs w:val="20"/>
        </w:rPr>
      </w:pPr>
      <w:r>
        <w:rPr>
          <w:rFonts w:ascii="Arial" w:eastAsia="Arial" w:hAnsi="Arial" w:cs="Arial"/>
          <w:sz w:val="20"/>
          <w:szCs w:val="20"/>
        </w:rPr>
        <w:t xml:space="preserve">En la columna de cantidad anotar el número que corresponda. </w:t>
      </w:r>
    </w:p>
    <w:p w:rsidR="00284790" w:rsidRDefault="004E6B1F">
      <w:pPr>
        <w:pStyle w:val="Normal1"/>
        <w:spacing w:after="60" w:line="240" w:lineRule="auto"/>
        <w:jc w:val="both"/>
        <w:rPr>
          <w:rFonts w:ascii="Arial" w:eastAsia="Arial" w:hAnsi="Arial" w:cs="Arial"/>
          <w:sz w:val="20"/>
          <w:szCs w:val="20"/>
        </w:rPr>
      </w:pPr>
      <w:r>
        <w:rPr>
          <w:rFonts w:ascii="Arial" w:eastAsia="Arial" w:hAnsi="Arial" w:cs="Arial"/>
          <w:sz w:val="20"/>
          <w:szCs w:val="20"/>
        </w:rPr>
        <w:t>De acuerdo a la NOM se debe contar con el equipo ind</w:t>
      </w:r>
      <w:r w:rsidR="00C21794">
        <w:rPr>
          <w:rFonts w:ascii="Arial" w:eastAsia="Arial" w:hAnsi="Arial" w:cs="Arial"/>
          <w:sz w:val="20"/>
          <w:szCs w:val="20"/>
        </w:rPr>
        <w:t xml:space="preserve">icado en este formato, sombree </w:t>
      </w:r>
      <w:r>
        <w:rPr>
          <w:rFonts w:ascii="Arial" w:eastAsia="Arial" w:hAnsi="Arial" w:cs="Arial"/>
          <w:sz w:val="20"/>
          <w:szCs w:val="20"/>
        </w:rPr>
        <w:t>con un color únicamente lo que se encuentra instalado en su área de trabajo y añada el equipo que no esté incluido en el listado</w:t>
      </w:r>
    </w:p>
    <w:p w:rsidR="00284790" w:rsidRDefault="00284790">
      <w:pPr>
        <w:pStyle w:val="Normal1"/>
        <w:spacing w:after="60" w:line="240" w:lineRule="auto"/>
        <w:jc w:val="both"/>
        <w:rPr>
          <w:rFonts w:ascii="Arial" w:eastAsia="Arial" w:hAnsi="Arial" w:cs="Arial"/>
          <w:sz w:val="20"/>
          <w:szCs w:val="20"/>
        </w:rPr>
      </w:pPr>
    </w:p>
    <w:tbl>
      <w:tblPr>
        <w:tblStyle w:val="a"/>
        <w:tblW w:w="99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1"/>
        <w:gridCol w:w="992"/>
        <w:gridCol w:w="709"/>
        <w:gridCol w:w="708"/>
        <w:gridCol w:w="690"/>
        <w:gridCol w:w="720"/>
        <w:gridCol w:w="3969"/>
      </w:tblGrid>
      <w:tr w:rsidR="00284790" w:rsidTr="00647ECE">
        <w:trPr>
          <w:tblHeader/>
        </w:trPr>
        <w:tc>
          <w:tcPr>
            <w:tcW w:w="2121" w:type="dxa"/>
            <w:vMerge w:val="restart"/>
            <w:tcBorders>
              <w:top w:val="single" w:sz="4" w:space="0" w:color="000000"/>
              <w:left w:val="single" w:sz="4" w:space="0" w:color="000000"/>
              <w:bottom w:val="single" w:sz="4" w:space="0" w:color="000000"/>
              <w:right w:val="single" w:sz="4" w:space="0" w:color="000000"/>
            </w:tcBorders>
            <w:shd w:val="clear" w:color="auto" w:fill="95B3D7"/>
            <w:vAlign w:val="center"/>
          </w:tcPr>
          <w:p w:rsidR="00284790" w:rsidRDefault="004E6B1F">
            <w:pPr>
              <w:pStyle w:val="Normal1"/>
              <w:spacing w:after="0" w:line="240" w:lineRule="auto"/>
              <w:rPr>
                <w:rFonts w:ascii="Arial" w:eastAsia="Arial" w:hAnsi="Arial" w:cs="Arial"/>
                <w:b/>
                <w:smallCaps/>
                <w:sz w:val="20"/>
                <w:szCs w:val="20"/>
              </w:rPr>
            </w:pPr>
            <w:r>
              <w:rPr>
                <w:rFonts w:ascii="Arial" w:eastAsia="Arial" w:hAnsi="Arial" w:cs="Arial"/>
                <w:b/>
                <w:smallCaps/>
                <w:sz w:val="20"/>
                <w:szCs w:val="20"/>
              </w:rPr>
              <w:t xml:space="preserve">tipo de </w:t>
            </w:r>
          </w:p>
          <w:p w:rsidR="00284790" w:rsidRDefault="004E6B1F">
            <w:pPr>
              <w:pStyle w:val="Normal1"/>
              <w:spacing w:after="0" w:line="240" w:lineRule="auto"/>
              <w:rPr>
                <w:rFonts w:ascii="Arial" w:eastAsia="Arial" w:hAnsi="Arial" w:cs="Arial"/>
                <w:b/>
                <w:smallCaps/>
                <w:sz w:val="20"/>
                <w:szCs w:val="20"/>
              </w:rPr>
            </w:pPr>
            <w:r>
              <w:rPr>
                <w:rFonts w:ascii="Arial" w:eastAsia="Arial" w:hAnsi="Arial" w:cs="Arial"/>
                <w:b/>
                <w:smallCaps/>
                <w:sz w:val="20"/>
                <w:szCs w:val="20"/>
              </w:rPr>
              <w:t>instalación</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95B3D7"/>
            <w:vAlign w:val="center"/>
          </w:tcPr>
          <w:p w:rsidR="00284790" w:rsidRDefault="004E6B1F">
            <w:pPr>
              <w:pStyle w:val="Normal1"/>
              <w:spacing w:after="0" w:line="240" w:lineRule="auto"/>
              <w:jc w:val="center"/>
              <w:rPr>
                <w:rFonts w:ascii="Arial" w:eastAsia="Arial" w:hAnsi="Arial" w:cs="Arial"/>
                <w:b/>
                <w:smallCaps/>
                <w:sz w:val="18"/>
                <w:szCs w:val="18"/>
              </w:rPr>
            </w:pPr>
            <w:r>
              <w:rPr>
                <w:rFonts w:ascii="Arial" w:eastAsia="Arial" w:hAnsi="Arial" w:cs="Arial"/>
                <w:b/>
                <w:smallCaps/>
                <w:sz w:val="18"/>
                <w:szCs w:val="18"/>
              </w:rPr>
              <w:t>cantidad</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95B3D7"/>
          </w:tcPr>
          <w:p w:rsidR="00284790" w:rsidRDefault="004E6B1F">
            <w:pPr>
              <w:pStyle w:val="Normal1"/>
              <w:spacing w:after="0" w:line="240" w:lineRule="auto"/>
              <w:jc w:val="center"/>
              <w:rPr>
                <w:rFonts w:ascii="Arial" w:eastAsia="Arial" w:hAnsi="Arial" w:cs="Arial"/>
                <w:b/>
                <w:smallCaps/>
                <w:sz w:val="18"/>
                <w:szCs w:val="18"/>
              </w:rPr>
            </w:pPr>
            <w:r>
              <w:rPr>
                <w:rFonts w:ascii="Arial" w:eastAsia="Arial" w:hAnsi="Arial" w:cs="Arial"/>
                <w:b/>
                <w:smallCaps/>
                <w:sz w:val="18"/>
                <w:szCs w:val="18"/>
              </w:rPr>
              <w:t>iluminación:</w:t>
            </w:r>
            <w:r>
              <w:rPr>
                <w:rFonts w:ascii="Arial" w:eastAsia="Arial" w:hAnsi="Arial" w:cs="Arial"/>
                <w:b/>
                <w:smallCaps/>
                <w:sz w:val="18"/>
                <w:szCs w:val="18"/>
                <w:vertAlign w:val="superscript"/>
              </w:rPr>
              <w:footnoteReference w:id="1"/>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95B3D7"/>
          </w:tcPr>
          <w:p w:rsidR="00284790" w:rsidRDefault="004E6B1F">
            <w:pPr>
              <w:pStyle w:val="Normal1"/>
              <w:spacing w:after="0" w:line="240" w:lineRule="auto"/>
              <w:jc w:val="center"/>
              <w:rPr>
                <w:rFonts w:ascii="Arial" w:eastAsia="Arial" w:hAnsi="Arial" w:cs="Arial"/>
                <w:b/>
                <w:smallCaps/>
                <w:sz w:val="18"/>
                <w:szCs w:val="18"/>
              </w:rPr>
            </w:pPr>
            <w:r>
              <w:rPr>
                <w:rFonts w:ascii="Arial" w:eastAsia="Arial" w:hAnsi="Arial" w:cs="Arial"/>
                <w:b/>
                <w:smallCaps/>
                <w:sz w:val="18"/>
                <w:szCs w:val="18"/>
              </w:rPr>
              <w:t>ventilación:</w:t>
            </w:r>
            <w:r>
              <w:rPr>
                <w:rFonts w:ascii="Arial" w:eastAsia="Arial" w:hAnsi="Arial" w:cs="Arial"/>
                <w:b/>
                <w:smallCaps/>
                <w:sz w:val="18"/>
                <w:szCs w:val="18"/>
                <w:vertAlign w:val="superscript"/>
              </w:rPr>
              <w:footnoteReference w:id="2"/>
            </w:r>
          </w:p>
        </w:tc>
        <w:tc>
          <w:tcPr>
            <w:tcW w:w="3969" w:type="dxa"/>
            <w:vMerge w:val="restart"/>
            <w:tcBorders>
              <w:top w:val="single" w:sz="4" w:space="0" w:color="000000"/>
              <w:left w:val="single" w:sz="4" w:space="0" w:color="000000"/>
              <w:bottom w:val="single" w:sz="4" w:space="0" w:color="000000"/>
              <w:right w:val="single" w:sz="4" w:space="0" w:color="000000"/>
            </w:tcBorders>
            <w:shd w:val="clear" w:color="auto" w:fill="95B3D7"/>
            <w:vAlign w:val="center"/>
          </w:tcPr>
          <w:p w:rsidR="00284790" w:rsidRDefault="004E6B1F">
            <w:pPr>
              <w:pStyle w:val="Normal1"/>
              <w:spacing w:after="0" w:line="240" w:lineRule="auto"/>
              <w:jc w:val="center"/>
              <w:rPr>
                <w:rFonts w:ascii="Arial" w:eastAsia="Arial" w:hAnsi="Arial" w:cs="Arial"/>
                <w:b/>
                <w:smallCaps/>
                <w:sz w:val="20"/>
                <w:szCs w:val="20"/>
              </w:rPr>
            </w:pPr>
            <w:r>
              <w:rPr>
                <w:rFonts w:ascii="Arial" w:eastAsia="Arial" w:hAnsi="Arial" w:cs="Arial"/>
                <w:b/>
                <w:smallCaps/>
                <w:sz w:val="20"/>
                <w:szCs w:val="20"/>
              </w:rPr>
              <w:t>equipamiento</w:t>
            </w:r>
            <w:r>
              <w:rPr>
                <w:rFonts w:ascii="Arial" w:eastAsia="Arial" w:hAnsi="Arial" w:cs="Arial"/>
                <w:b/>
                <w:smallCaps/>
                <w:sz w:val="20"/>
                <w:szCs w:val="20"/>
                <w:vertAlign w:val="superscript"/>
              </w:rPr>
              <w:footnoteReference w:id="3"/>
            </w:r>
          </w:p>
        </w:tc>
      </w:tr>
      <w:tr w:rsidR="00284790" w:rsidTr="00C21794">
        <w:tc>
          <w:tcPr>
            <w:tcW w:w="2121" w:type="dxa"/>
            <w:vMerge/>
            <w:tcBorders>
              <w:top w:val="single" w:sz="4" w:space="0" w:color="000000"/>
              <w:left w:val="single" w:sz="4" w:space="0" w:color="000000"/>
              <w:bottom w:val="single" w:sz="4" w:space="0" w:color="000000"/>
              <w:right w:val="single" w:sz="4" w:space="0" w:color="000000"/>
            </w:tcBorders>
            <w:shd w:val="clear" w:color="auto" w:fill="95B3D7"/>
            <w:vAlign w:val="center"/>
          </w:tcPr>
          <w:p w:rsidR="00284790" w:rsidRDefault="00284790">
            <w:pPr>
              <w:pStyle w:val="Normal1"/>
              <w:widowControl w:val="0"/>
              <w:pBdr>
                <w:top w:val="nil"/>
                <w:left w:val="nil"/>
                <w:bottom w:val="nil"/>
                <w:right w:val="nil"/>
                <w:between w:val="nil"/>
              </w:pBdr>
              <w:spacing w:after="0"/>
              <w:rPr>
                <w:rFonts w:ascii="Arial" w:eastAsia="Arial" w:hAnsi="Arial" w:cs="Arial"/>
                <w:b/>
                <w:smallCaps/>
                <w:sz w:val="20"/>
                <w:szCs w:val="20"/>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95B3D7"/>
            <w:vAlign w:val="center"/>
          </w:tcPr>
          <w:p w:rsidR="00284790" w:rsidRDefault="00284790">
            <w:pPr>
              <w:pStyle w:val="Normal1"/>
              <w:widowControl w:val="0"/>
              <w:pBdr>
                <w:top w:val="nil"/>
                <w:left w:val="nil"/>
                <w:bottom w:val="nil"/>
                <w:right w:val="nil"/>
                <w:between w:val="nil"/>
              </w:pBdr>
              <w:spacing w:after="0"/>
              <w:rPr>
                <w:rFonts w:ascii="Arial" w:eastAsia="Arial" w:hAnsi="Arial" w:cs="Arial"/>
                <w:b/>
                <w:smallCaps/>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95B3D7"/>
          </w:tcPr>
          <w:p w:rsidR="00284790" w:rsidRDefault="004E6B1F">
            <w:pPr>
              <w:pStyle w:val="Normal1"/>
              <w:spacing w:after="0" w:line="240" w:lineRule="auto"/>
              <w:jc w:val="center"/>
              <w:rPr>
                <w:rFonts w:ascii="Arial" w:eastAsia="Arial" w:hAnsi="Arial" w:cs="Arial"/>
                <w:b/>
                <w:smallCaps/>
                <w:sz w:val="18"/>
                <w:szCs w:val="18"/>
              </w:rPr>
            </w:pPr>
            <w:proofErr w:type="spellStart"/>
            <w:r>
              <w:rPr>
                <w:rFonts w:ascii="Arial" w:eastAsia="Arial" w:hAnsi="Arial" w:cs="Arial"/>
                <w:b/>
                <w:smallCaps/>
                <w:sz w:val="18"/>
                <w:szCs w:val="18"/>
              </w:rPr>
              <w:t>nat</w:t>
            </w:r>
            <w:proofErr w:type="spellEnd"/>
            <w:r>
              <w:rPr>
                <w:rFonts w:ascii="Arial" w:eastAsia="Arial" w:hAnsi="Arial" w:cs="Arial"/>
                <w:b/>
                <w:smallCaps/>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95B3D7"/>
          </w:tcPr>
          <w:p w:rsidR="00284790" w:rsidRDefault="004E6B1F">
            <w:pPr>
              <w:pStyle w:val="Normal1"/>
              <w:spacing w:after="0" w:line="240" w:lineRule="auto"/>
              <w:rPr>
                <w:rFonts w:ascii="Arial" w:eastAsia="Arial" w:hAnsi="Arial" w:cs="Arial"/>
                <w:b/>
                <w:smallCaps/>
                <w:sz w:val="18"/>
                <w:szCs w:val="18"/>
              </w:rPr>
            </w:pPr>
            <w:r>
              <w:rPr>
                <w:rFonts w:ascii="Arial" w:eastAsia="Arial" w:hAnsi="Arial" w:cs="Arial"/>
                <w:b/>
                <w:smallCaps/>
                <w:sz w:val="18"/>
                <w:szCs w:val="18"/>
              </w:rPr>
              <w:t>art.</w:t>
            </w:r>
          </w:p>
        </w:tc>
        <w:tc>
          <w:tcPr>
            <w:tcW w:w="690" w:type="dxa"/>
            <w:tcBorders>
              <w:top w:val="single" w:sz="4" w:space="0" w:color="000000"/>
              <w:left w:val="single" w:sz="4" w:space="0" w:color="000000"/>
              <w:bottom w:val="single" w:sz="4" w:space="0" w:color="000000"/>
              <w:right w:val="single" w:sz="4" w:space="0" w:color="000000"/>
            </w:tcBorders>
            <w:shd w:val="clear" w:color="auto" w:fill="95B3D7"/>
          </w:tcPr>
          <w:p w:rsidR="00284790" w:rsidRDefault="004E6B1F">
            <w:pPr>
              <w:pStyle w:val="Normal1"/>
              <w:spacing w:after="0" w:line="240" w:lineRule="auto"/>
              <w:jc w:val="center"/>
              <w:rPr>
                <w:rFonts w:ascii="Arial" w:eastAsia="Arial" w:hAnsi="Arial" w:cs="Arial"/>
                <w:b/>
                <w:smallCaps/>
                <w:sz w:val="18"/>
                <w:szCs w:val="18"/>
              </w:rPr>
            </w:pPr>
            <w:proofErr w:type="spellStart"/>
            <w:r>
              <w:rPr>
                <w:rFonts w:ascii="Arial" w:eastAsia="Arial" w:hAnsi="Arial" w:cs="Arial"/>
                <w:b/>
                <w:smallCaps/>
                <w:sz w:val="18"/>
                <w:szCs w:val="18"/>
              </w:rPr>
              <w:t>nat</w:t>
            </w:r>
            <w:proofErr w:type="spellEnd"/>
            <w:r>
              <w:rPr>
                <w:rFonts w:ascii="Arial" w:eastAsia="Arial" w:hAnsi="Arial" w:cs="Arial"/>
                <w:b/>
                <w:smallCaps/>
                <w:sz w:val="18"/>
                <w:szCs w:val="18"/>
              </w:rPr>
              <w:t>.</w:t>
            </w:r>
          </w:p>
        </w:tc>
        <w:tc>
          <w:tcPr>
            <w:tcW w:w="720" w:type="dxa"/>
            <w:tcBorders>
              <w:top w:val="single" w:sz="4" w:space="0" w:color="000000"/>
              <w:left w:val="single" w:sz="4" w:space="0" w:color="000000"/>
              <w:bottom w:val="single" w:sz="4" w:space="0" w:color="000000"/>
              <w:right w:val="single" w:sz="4" w:space="0" w:color="000000"/>
            </w:tcBorders>
            <w:shd w:val="clear" w:color="auto" w:fill="95B3D7"/>
          </w:tcPr>
          <w:p w:rsidR="00284790" w:rsidRDefault="004E6B1F">
            <w:pPr>
              <w:pStyle w:val="Normal1"/>
              <w:spacing w:after="0" w:line="240" w:lineRule="auto"/>
              <w:jc w:val="center"/>
              <w:rPr>
                <w:rFonts w:ascii="Arial" w:eastAsia="Arial" w:hAnsi="Arial" w:cs="Arial"/>
                <w:b/>
                <w:smallCaps/>
                <w:sz w:val="18"/>
                <w:szCs w:val="18"/>
              </w:rPr>
            </w:pPr>
            <w:r>
              <w:rPr>
                <w:rFonts w:ascii="Arial" w:eastAsia="Arial" w:hAnsi="Arial" w:cs="Arial"/>
                <w:b/>
                <w:smallCaps/>
                <w:sz w:val="18"/>
                <w:szCs w:val="18"/>
              </w:rPr>
              <w:t>art.</w:t>
            </w:r>
          </w:p>
        </w:tc>
        <w:tc>
          <w:tcPr>
            <w:tcW w:w="3969" w:type="dxa"/>
            <w:vMerge/>
            <w:tcBorders>
              <w:top w:val="single" w:sz="4" w:space="0" w:color="000000"/>
              <w:left w:val="single" w:sz="4" w:space="0" w:color="000000"/>
              <w:bottom w:val="single" w:sz="4" w:space="0" w:color="000000"/>
              <w:right w:val="single" w:sz="4" w:space="0" w:color="000000"/>
            </w:tcBorders>
            <w:shd w:val="clear" w:color="auto" w:fill="95B3D7"/>
            <w:vAlign w:val="center"/>
          </w:tcPr>
          <w:p w:rsidR="00284790" w:rsidRDefault="00284790">
            <w:pPr>
              <w:pStyle w:val="Normal1"/>
              <w:widowControl w:val="0"/>
              <w:pBdr>
                <w:top w:val="nil"/>
                <w:left w:val="nil"/>
                <w:bottom w:val="nil"/>
                <w:right w:val="nil"/>
                <w:between w:val="nil"/>
              </w:pBdr>
              <w:spacing w:after="0"/>
              <w:rPr>
                <w:rFonts w:ascii="Arial" w:eastAsia="Arial" w:hAnsi="Arial" w:cs="Arial"/>
                <w:b/>
                <w:smallCaps/>
                <w:sz w:val="18"/>
                <w:szCs w:val="18"/>
              </w:rPr>
            </w:pPr>
          </w:p>
        </w:tc>
      </w:tr>
      <w:tr w:rsidR="00284790" w:rsidTr="00C21794">
        <w:trPr>
          <w:trHeight w:val="300"/>
        </w:trPr>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Aulas</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2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Todo el necesario</w:t>
            </w:r>
          </w:p>
        </w:tc>
      </w:tr>
      <w:tr w:rsidR="00284790" w:rsidTr="00C21794">
        <w:trPr>
          <w:trHeight w:val="360"/>
        </w:trPr>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Cubículos</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284790">
            <w:pPr>
              <w:pStyle w:val="Normal1"/>
              <w:spacing w:after="0" w:line="240" w:lineRule="auto"/>
              <w:jc w:val="center"/>
              <w:rPr>
                <w:rFonts w:ascii="Arial" w:eastAsia="Arial" w:hAnsi="Arial" w:cs="Arial"/>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tcPr>
          <w:p w:rsidR="00284790" w:rsidRDefault="00284790">
            <w:pPr>
              <w:pStyle w:val="Normal1"/>
              <w:spacing w:after="0" w:line="240" w:lineRule="auto"/>
              <w:rPr>
                <w:rFonts w:ascii="Arial" w:eastAsia="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Todo el necesario</w:t>
            </w:r>
          </w:p>
        </w:tc>
      </w:tr>
      <w:tr w:rsidR="00284790" w:rsidTr="00C21794">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Oficinas administrativas</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20" w:type="dxa"/>
            <w:tcBorders>
              <w:top w:val="single" w:sz="4" w:space="0" w:color="000000"/>
              <w:left w:val="single" w:sz="4" w:space="0" w:color="000000"/>
              <w:bottom w:val="single" w:sz="4" w:space="0" w:color="000000"/>
              <w:right w:val="single" w:sz="4" w:space="0" w:color="000000"/>
            </w:tcBorders>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Todo el necesario</w:t>
            </w:r>
          </w:p>
        </w:tc>
      </w:tr>
      <w:tr w:rsidR="00284790" w:rsidTr="00C21794">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Unidad administrativa de enseñanza</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Pr="00C21794" w:rsidRDefault="004E6B1F">
            <w:pPr>
              <w:pStyle w:val="Normal1"/>
              <w:spacing w:after="0" w:line="240" w:lineRule="auto"/>
              <w:jc w:val="center"/>
              <w:rPr>
                <w:rFonts w:ascii="Arial" w:eastAsia="Arial" w:hAnsi="Arial" w:cs="Arial"/>
                <w:sz w:val="20"/>
                <w:szCs w:val="20"/>
              </w:rPr>
            </w:pPr>
            <w:r w:rsidRPr="00C21794">
              <w:rPr>
                <w:rFonts w:ascii="Arial" w:eastAsia="Arial" w:hAnsi="Arial" w:cs="Arial"/>
                <w:sz w:val="20"/>
                <w:szCs w:val="20"/>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20" w:type="dxa"/>
            <w:tcBorders>
              <w:top w:val="single" w:sz="4" w:space="0" w:color="000000"/>
              <w:left w:val="single" w:sz="4" w:space="0" w:color="000000"/>
              <w:bottom w:val="single" w:sz="4" w:space="0" w:color="000000"/>
              <w:right w:val="single" w:sz="4" w:space="0" w:color="000000"/>
            </w:tcBorders>
          </w:tcPr>
          <w:p w:rsidR="00284790" w:rsidRDefault="00284790">
            <w:pPr>
              <w:pStyle w:val="Normal1"/>
              <w:spacing w:after="0" w:line="240" w:lineRule="auto"/>
              <w:jc w:val="center"/>
              <w:rPr>
                <w:rFonts w:ascii="Arial" w:eastAsia="Arial" w:hAnsi="Arial" w:cs="Arial"/>
                <w:sz w:val="20"/>
                <w:szCs w:val="20"/>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Todo el necesario</w:t>
            </w:r>
          </w:p>
        </w:tc>
      </w:tr>
      <w:tr w:rsidR="00284790" w:rsidTr="00C21794">
        <w:trPr>
          <w:trHeight w:val="360"/>
        </w:trPr>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Consultorios</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Pr="00C21794" w:rsidRDefault="004E6B1F">
            <w:pPr>
              <w:pStyle w:val="Normal1"/>
              <w:spacing w:after="0" w:line="240" w:lineRule="auto"/>
              <w:jc w:val="center"/>
              <w:rPr>
                <w:rFonts w:ascii="Arial" w:eastAsia="Arial" w:hAnsi="Arial" w:cs="Arial"/>
                <w:sz w:val="20"/>
                <w:szCs w:val="20"/>
              </w:rPr>
            </w:pPr>
            <w:r w:rsidRPr="00C21794">
              <w:rPr>
                <w:rFonts w:ascii="Arial" w:eastAsia="Arial" w:hAnsi="Arial" w:cs="Arial"/>
                <w:sz w:val="20"/>
                <w:szCs w:val="20"/>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284790">
            <w:pPr>
              <w:pStyle w:val="Normal1"/>
              <w:spacing w:after="0" w:line="240" w:lineRule="auto"/>
              <w:jc w:val="center"/>
              <w:rPr>
                <w:rFonts w:ascii="Arial" w:eastAsia="Arial" w:hAnsi="Arial" w:cs="Arial"/>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tcPr>
          <w:p w:rsidR="00284790" w:rsidRDefault="00284790">
            <w:pPr>
              <w:pStyle w:val="Normal1"/>
              <w:spacing w:after="0" w:line="240" w:lineRule="auto"/>
              <w:jc w:val="center"/>
              <w:rPr>
                <w:rFonts w:ascii="Arial" w:eastAsia="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 xml:space="preserve">Todo el necesario </w:t>
            </w:r>
          </w:p>
        </w:tc>
      </w:tr>
      <w:tr w:rsidR="00284790" w:rsidTr="00C21794">
        <w:trPr>
          <w:trHeight w:val="400"/>
        </w:trPr>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Camas</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Pr="00C21794" w:rsidRDefault="004E6B1F">
            <w:pPr>
              <w:pStyle w:val="Normal1"/>
              <w:spacing w:after="0" w:line="240" w:lineRule="auto"/>
              <w:jc w:val="center"/>
              <w:rPr>
                <w:rFonts w:ascii="Arial" w:eastAsia="Arial" w:hAnsi="Arial" w:cs="Arial"/>
                <w:sz w:val="20"/>
                <w:szCs w:val="20"/>
              </w:rPr>
            </w:pPr>
            <w:r w:rsidRPr="00C21794">
              <w:rPr>
                <w:rFonts w:ascii="Arial" w:eastAsia="Arial" w:hAnsi="Arial" w:cs="Arial"/>
                <w:sz w:val="20"/>
                <w:szCs w:val="20"/>
              </w:rPr>
              <w:t>120</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2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Todo el necesario</w:t>
            </w:r>
          </w:p>
        </w:tc>
      </w:tr>
      <w:tr w:rsidR="00284790" w:rsidTr="00C21794">
        <w:trPr>
          <w:trHeight w:val="360"/>
        </w:trPr>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Comedor</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Pr="00C21794" w:rsidRDefault="004E6B1F">
            <w:pPr>
              <w:pStyle w:val="Normal1"/>
              <w:spacing w:after="0" w:line="240" w:lineRule="auto"/>
              <w:jc w:val="center"/>
              <w:rPr>
                <w:rFonts w:ascii="Arial" w:eastAsia="Arial" w:hAnsi="Arial" w:cs="Arial"/>
                <w:sz w:val="20"/>
                <w:szCs w:val="20"/>
              </w:rPr>
            </w:pPr>
            <w:r w:rsidRPr="00C21794">
              <w:rPr>
                <w:rFonts w:ascii="Arial" w:eastAsia="Arial" w:hAnsi="Arial" w:cs="Arial"/>
                <w:sz w:val="20"/>
                <w:szCs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2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Todo lo necesario</w:t>
            </w:r>
          </w:p>
        </w:tc>
      </w:tr>
      <w:tr w:rsidR="00284790" w:rsidTr="00C21794">
        <w:trPr>
          <w:trHeight w:val="360"/>
        </w:trPr>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Área de descanso</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Pr="00C21794" w:rsidRDefault="004E6B1F">
            <w:pPr>
              <w:pStyle w:val="Normal1"/>
              <w:spacing w:after="0" w:line="240" w:lineRule="auto"/>
              <w:jc w:val="center"/>
              <w:rPr>
                <w:rFonts w:ascii="Arial" w:eastAsia="Arial" w:hAnsi="Arial" w:cs="Arial"/>
                <w:sz w:val="20"/>
                <w:szCs w:val="20"/>
              </w:rPr>
            </w:pPr>
            <w:r w:rsidRPr="00C21794">
              <w:rPr>
                <w:rFonts w:ascii="Arial" w:eastAsia="Arial" w:hAnsi="Arial" w:cs="Arial"/>
                <w:sz w:val="20"/>
                <w:szCs w:val="20"/>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2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Todo lo necesario</w:t>
            </w:r>
          </w:p>
        </w:tc>
      </w:tr>
      <w:tr w:rsidR="00284790" w:rsidTr="00C21794">
        <w:trPr>
          <w:trHeight w:val="420"/>
        </w:trPr>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Centro de cómputo</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Pr="00C21794" w:rsidRDefault="004E6B1F">
            <w:pPr>
              <w:pStyle w:val="Normal1"/>
              <w:spacing w:after="0" w:line="240" w:lineRule="auto"/>
              <w:jc w:val="center"/>
              <w:rPr>
                <w:rFonts w:ascii="Arial" w:eastAsia="Arial" w:hAnsi="Arial" w:cs="Arial"/>
                <w:sz w:val="20"/>
                <w:szCs w:val="20"/>
              </w:rPr>
            </w:pPr>
            <w:r w:rsidRPr="00C21794">
              <w:rPr>
                <w:rFonts w:ascii="Arial" w:eastAsia="Arial" w:hAnsi="Arial" w:cs="Arial"/>
                <w:sz w:val="20"/>
                <w:szCs w:val="20"/>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2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Todo lo necesario</w:t>
            </w:r>
          </w:p>
        </w:tc>
      </w:tr>
      <w:tr w:rsidR="00284790" w:rsidTr="00C21794">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Biblioteca</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72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 xml:space="preserve">Todo lo necesario con libros de la bibliografía solicitada, así como revistas y centro de cómputo para consulta de bases de datos. </w:t>
            </w:r>
          </w:p>
        </w:tc>
      </w:tr>
      <w:tr w:rsidR="00284790" w:rsidTr="00C21794">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Auditorio</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284790">
            <w:pPr>
              <w:pStyle w:val="Normal1"/>
              <w:spacing w:after="0" w:line="240" w:lineRule="auto"/>
              <w:jc w:val="center"/>
              <w:rPr>
                <w:rFonts w:ascii="Arial" w:eastAsia="Arial" w:hAnsi="Arial" w:cs="Arial"/>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vAlign w:val="center"/>
          </w:tcPr>
          <w:p w:rsidR="00284790" w:rsidRDefault="00284790">
            <w:pPr>
              <w:pStyle w:val="Normal1"/>
              <w:spacing w:after="0" w:line="240" w:lineRule="auto"/>
              <w:jc w:val="center"/>
              <w:rPr>
                <w:rFonts w:ascii="Arial" w:eastAsia="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Equipo de proyección y audio</w:t>
            </w:r>
          </w:p>
        </w:tc>
      </w:tr>
      <w:tr w:rsidR="00284790" w:rsidTr="00C21794">
        <w:tc>
          <w:tcPr>
            <w:tcW w:w="2121"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Salón de usos múltiples</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284790" w:rsidRDefault="00284790">
            <w:pPr>
              <w:pStyle w:val="Normal1"/>
              <w:spacing w:after="0" w:line="240" w:lineRule="auto"/>
              <w:jc w:val="center"/>
              <w:rPr>
                <w:rFonts w:ascii="Arial" w:eastAsia="Arial" w:hAnsi="Arial" w:cs="Arial"/>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690" w:type="dxa"/>
            <w:tcBorders>
              <w:top w:val="single" w:sz="4" w:space="0" w:color="000000"/>
              <w:left w:val="single" w:sz="4" w:space="0" w:color="000000"/>
              <w:bottom w:val="single" w:sz="4" w:space="0" w:color="000000"/>
              <w:right w:val="single" w:sz="4" w:space="0" w:color="000000"/>
            </w:tcBorders>
          </w:tcPr>
          <w:p w:rsidR="00284790" w:rsidRDefault="00284790">
            <w:pPr>
              <w:pStyle w:val="Normal1"/>
              <w:spacing w:after="0" w:line="240" w:lineRule="auto"/>
              <w:rPr>
                <w:rFonts w:ascii="Arial" w:eastAsia="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Equipo de proyección y audio</w:t>
            </w:r>
          </w:p>
        </w:tc>
      </w:tr>
      <w:tr w:rsidR="00284790" w:rsidTr="00C21794">
        <w:trPr>
          <w:trHeight w:val="540"/>
        </w:trPr>
        <w:tc>
          <w:tcPr>
            <w:tcW w:w="2121" w:type="dxa"/>
            <w:tcBorders>
              <w:top w:val="single" w:sz="4" w:space="0" w:color="000000"/>
              <w:left w:val="single" w:sz="4" w:space="0" w:color="000000"/>
              <w:bottom w:val="single" w:sz="4" w:space="0" w:color="000000"/>
              <w:right w:val="single" w:sz="4" w:space="0" w:color="000000"/>
            </w:tcBorders>
          </w:tcPr>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t>Consultorio de medicina general, familiar o pediátrica</w:t>
            </w:r>
          </w:p>
        </w:tc>
        <w:tc>
          <w:tcPr>
            <w:tcW w:w="992" w:type="dxa"/>
            <w:tcBorders>
              <w:top w:val="single" w:sz="4" w:space="0" w:color="000000"/>
              <w:left w:val="single" w:sz="4" w:space="0" w:color="000000"/>
              <w:bottom w:val="single" w:sz="4" w:space="0" w:color="000000"/>
              <w:right w:val="single" w:sz="4" w:space="0" w:color="000000"/>
            </w:tcBorders>
            <w:vAlign w:val="center"/>
          </w:tcPr>
          <w:p w:rsidR="00284790" w:rsidRDefault="004E6B1F">
            <w:pPr>
              <w:pStyle w:val="Normal1"/>
              <w:spacing w:after="0" w:line="240" w:lineRule="auto"/>
              <w:jc w:val="center"/>
              <w:rPr>
                <w:rFonts w:ascii="Arial" w:eastAsia="Arial" w:hAnsi="Arial" w:cs="Arial"/>
                <w:sz w:val="20"/>
                <w:szCs w:val="20"/>
              </w:rPr>
            </w:pPr>
            <w:r>
              <w:rPr>
                <w:rFonts w:ascii="Arial" w:eastAsia="Arial" w:hAnsi="Arial" w:cs="Arial"/>
                <w:sz w:val="20"/>
                <w:szCs w:val="20"/>
              </w:rPr>
              <w:t>3</w:t>
            </w:r>
          </w:p>
        </w:tc>
        <w:tc>
          <w:tcPr>
            <w:tcW w:w="709" w:type="dxa"/>
            <w:tcBorders>
              <w:top w:val="single" w:sz="4" w:space="0" w:color="000000"/>
              <w:left w:val="single" w:sz="4" w:space="0" w:color="000000"/>
              <w:bottom w:val="single" w:sz="4" w:space="0" w:color="000000"/>
              <w:right w:val="single" w:sz="4" w:space="0" w:color="000000"/>
            </w:tcBorders>
          </w:tcPr>
          <w:p w:rsidR="00284790" w:rsidRDefault="00284790">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284790" w:rsidRDefault="00284790">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284790" w:rsidRDefault="00284790">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tcPr>
          <w:p w:rsidR="00284790" w:rsidRDefault="00284790">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3969" w:type="dxa"/>
            <w:tcBorders>
              <w:top w:val="single" w:sz="4" w:space="0" w:color="000000"/>
              <w:left w:val="single" w:sz="4" w:space="0" w:color="000000"/>
              <w:bottom w:val="single" w:sz="4" w:space="0" w:color="000000"/>
              <w:right w:val="single" w:sz="4" w:space="0" w:color="000000"/>
            </w:tcBorders>
          </w:tcPr>
          <w:p w:rsidR="00647ECE" w:rsidRDefault="004E6B1F">
            <w:pPr>
              <w:pStyle w:val="Normal1"/>
              <w:spacing w:after="0" w:line="240" w:lineRule="auto"/>
              <w:rPr>
                <w:rFonts w:ascii="Arial" w:eastAsia="Arial" w:hAnsi="Arial" w:cs="Arial"/>
                <w:sz w:val="20"/>
                <w:szCs w:val="20"/>
              </w:rPr>
            </w:pPr>
            <w:r>
              <w:rPr>
                <w:rFonts w:ascii="Arial" w:eastAsia="Arial" w:hAnsi="Arial" w:cs="Arial"/>
                <w:sz w:val="20"/>
                <w:szCs w:val="20"/>
              </w:rPr>
              <w:t xml:space="preserve">Asiento para el médico; Asiento para el paciente y acompañante; Asiento para el médico en la exploración del paciente; Banqueta de altura o similar; Báscula con </w:t>
            </w:r>
            <w:proofErr w:type="spellStart"/>
            <w:r>
              <w:rPr>
                <w:rFonts w:ascii="Arial" w:eastAsia="Arial" w:hAnsi="Arial" w:cs="Arial"/>
                <w:sz w:val="20"/>
                <w:szCs w:val="20"/>
              </w:rPr>
              <w:t>estadímetro</w:t>
            </w:r>
            <w:proofErr w:type="spellEnd"/>
            <w:r>
              <w:rPr>
                <w:rFonts w:ascii="Arial" w:eastAsia="Arial" w:hAnsi="Arial" w:cs="Arial"/>
                <w:sz w:val="20"/>
                <w:szCs w:val="20"/>
              </w:rPr>
              <w:t xml:space="preserve">; Cubeta o cesto para bolsa de basura municipal y bolsa de plástico color rojo para residuos peligrosos biológico-infecciosos, así como contendor rígido para residuos peligrosos punzo-cortantes, conforme lo establece la Norma Oficial Mexicana NOM-087-SEMARNAT-SSA1-2002; Guarda de medicamentos, materiales o instrumental; Mesa de exploración; Mesa de Mayo, Pasteur o similar, de altura ajustable; </w:t>
            </w:r>
          </w:p>
          <w:p w:rsidR="00284790" w:rsidRDefault="004E6B1F">
            <w:pPr>
              <w:pStyle w:val="Normal1"/>
              <w:spacing w:after="0" w:line="240" w:lineRule="auto"/>
              <w:rPr>
                <w:rFonts w:ascii="Arial" w:eastAsia="Arial" w:hAnsi="Arial" w:cs="Arial"/>
                <w:sz w:val="20"/>
                <w:szCs w:val="20"/>
              </w:rPr>
            </w:pPr>
            <w:r>
              <w:rPr>
                <w:rFonts w:ascii="Arial" w:eastAsia="Arial" w:hAnsi="Arial" w:cs="Arial"/>
                <w:sz w:val="20"/>
                <w:szCs w:val="20"/>
              </w:rPr>
              <w:lastRenderedPageBreak/>
              <w:t>Mueble para escribir; Sistema para guarda de expedientes clínicos físico o digital</w:t>
            </w:r>
          </w:p>
          <w:p w:rsidR="00647ECE" w:rsidRDefault="00647ECE">
            <w:pPr>
              <w:pStyle w:val="Normal1"/>
              <w:spacing w:after="0" w:line="240" w:lineRule="auto"/>
              <w:rPr>
                <w:rFonts w:ascii="Arial" w:eastAsia="Arial" w:hAnsi="Arial" w:cs="Arial"/>
                <w:sz w:val="20"/>
                <w:szCs w:val="20"/>
              </w:rPr>
            </w:pPr>
          </w:p>
        </w:tc>
      </w:tr>
      <w:tr w:rsidR="00647ECE" w:rsidTr="00C21794">
        <w:trPr>
          <w:trHeight w:val="540"/>
        </w:trPr>
        <w:tc>
          <w:tcPr>
            <w:tcW w:w="2121" w:type="dxa"/>
            <w:tcBorders>
              <w:top w:val="single" w:sz="4" w:space="0" w:color="000000"/>
              <w:left w:val="single" w:sz="4" w:space="0" w:color="000000"/>
              <w:bottom w:val="single" w:sz="4" w:space="0" w:color="000000"/>
              <w:right w:val="single" w:sz="4" w:space="0" w:color="000000"/>
            </w:tcBorders>
          </w:tcPr>
          <w:p w:rsidR="00647ECE" w:rsidRDefault="00647ECE">
            <w:pPr>
              <w:pStyle w:val="Normal1"/>
              <w:spacing w:after="0" w:line="240" w:lineRule="auto"/>
              <w:rPr>
                <w:rFonts w:ascii="Arial" w:eastAsia="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47ECE" w:rsidRDefault="00647ECE">
            <w:pPr>
              <w:pStyle w:val="Normal1"/>
              <w:spacing w:after="0" w:line="240" w:lineRule="auto"/>
              <w:jc w:val="center"/>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47ECE" w:rsidRDefault="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47ECE" w:rsidRDefault="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647ECE" w:rsidRDefault="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tcPr>
          <w:p w:rsidR="00647ECE" w:rsidRDefault="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3969" w:type="dxa"/>
            <w:tcBorders>
              <w:top w:val="single" w:sz="4" w:space="0" w:color="000000"/>
              <w:left w:val="single" w:sz="4" w:space="0" w:color="000000"/>
              <w:bottom w:val="single" w:sz="4" w:space="0" w:color="000000"/>
              <w:right w:val="single" w:sz="4" w:space="0" w:color="000000"/>
            </w:tcBorders>
          </w:tcPr>
          <w:p w:rsidR="00647ECE" w:rsidRDefault="00647ECE" w:rsidP="00647ECE">
            <w:pPr>
              <w:pStyle w:val="Normal1"/>
              <w:spacing w:after="0" w:line="240" w:lineRule="auto"/>
              <w:rPr>
                <w:rFonts w:ascii="Arial" w:eastAsia="Arial" w:hAnsi="Arial" w:cs="Arial"/>
                <w:sz w:val="20"/>
                <w:szCs w:val="20"/>
              </w:rPr>
            </w:pPr>
            <w:r>
              <w:rPr>
                <w:rFonts w:ascii="Arial" w:eastAsia="Arial" w:hAnsi="Arial" w:cs="Arial"/>
                <w:sz w:val="20"/>
                <w:szCs w:val="20"/>
              </w:rPr>
              <w:t xml:space="preserve">Equipo: Esfigmomanómetro mercurial, aneroide o electrónico con brazalete de tamaño que requiera para su actividad principal; Estetoscopio biauricular; Estetoscopio </w:t>
            </w:r>
            <w:proofErr w:type="spellStart"/>
            <w:r>
              <w:rPr>
                <w:rFonts w:ascii="Arial" w:eastAsia="Arial" w:hAnsi="Arial" w:cs="Arial"/>
                <w:sz w:val="20"/>
                <w:szCs w:val="20"/>
              </w:rPr>
              <w:t>Pinard</w:t>
            </w:r>
            <w:proofErr w:type="spellEnd"/>
            <w:r>
              <w:rPr>
                <w:rFonts w:ascii="Arial" w:eastAsia="Arial" w:hAnsi="Arial" w:cs="Arial"/>
                <w:sz w:val="20"/>
                <w:szCs w:val="20"/>
              </w:rPr>
              <w:t xml:space="preserve">; Estuche de diagnóstico (oftalmoscopio opcional); Lámpara con haz </w:t>
            </w:r>
            <w:proofErr w:type="spellStart"/>
            <w:r>
              <w:rPr>
                <w:rFonts w:ascii="Arial" w:eastAsia="Arial" w:hAnsi="Arial" w:cs="Arial"/>
                <w:sz w:val="20"/>
                <w:szCs w:val="20"/>
              </w:rPr>
              <w:t>direccionable</w:t>
            </w:r>
            <w:proofErr w:type="spellEnd"/>
            <w:r>
              <w:rPr>
                <w:rFonts w:ascii="Arial" w:eastAsia="Arial" w:hAnsi="Arial" w:cs="Arial"/>
                <w:sz w:val="20"/>
                <w:szCs w:val="20"/>
              </w:rPr>
              <w:t>; Negatoscopio.</w:t>
            </w:r>
          </w:p>
          <w:p w:rsidR="00647ECE" w:rsidRDefault="00647ECE" w:rsidP="00647ECE">
            <w:pPr>
              <w:pStyle w:val="Normal1"/>
              <w:spacing w:after="0" w:line="240" w:lineRule="auto"/>
              <w:rPr>
                <w:rFonts w:ascii="Arial" w:eastAsia="Arial" w:hAnsi="Arial" w:cs="Arial"/>
                <w:sz w:val="20"/>
                <w:szCs w:val="20"/>
              </w:rPr>
            </w:pPr>
            <w:r>
              <w:rPr>
                <w:rFonts w:ascii="Arial" w:eastAsia="Arial" w:hAnsi="Arial" w:cs="Arial"/>
                <w:sz w:val="20"/>
                <w:szCs w:val="20"/>
              </w:rPr>
              <w:t xml:space="preserve">Instrumental: Caja con tapa para soluciones desinfectantes; Mango para bisturí; Martillo percusor; Pinza de anillos; Pinza de disección con dientes y sin dientes; Pinza tipo mosquito; Riñón de 250 ml o de mayor capacidad; Tijera recta; </w:t>
            </w:r>
            <w:proofErr w:type="spellStart"/>
            <w:r>
              <w:rPr>
                <w:rFonts w:ascii="Arial" w:eastAsia="Arial" w:hAnsi="Arial" w:cs="Arial"/>
                <w:sz w:val="20"/>
                <w:szCs w:val="20"/>
              </w:rPr>
              <w:t>Torundero</w:t>
            </w:r>
            <w:proofErr w:type="spellEnd"/>
            <w:r>
              <w:rPr>
                <w:rFonts w:ascii="Arial" w:eastAsia="Arial" w:hAnsi="Arial" w:cs="Arial"/>
                <w:sz w:val="20"/>
                <w:szCs w:val="20"/>
              </w:rPr>
              <w:t xml:space="preserve"> con tapa; Cinta métrica; Termómetro clínico</w:t>
            </w:r>
          </w:p>
        </w:tc>
      </w:tr>
      <w:tr w:rsidR="00647ECE" w:rsidTr="00C21794">
        <w:trPr>
          <w:trHeight w:val="540"/>
        </w:trPr>
        <w:tc>
          <w:tcPr>
            <w:tcW w:w="2121" w:type="dxa"/>
            <w:tcBorders>
              <w:top w:val="single" w:sz="4" w:space="0" w:color="000000"/>
              <w:left w:val="single" w:sz="4" w:space="0" w:color="000000"/>
              <w:bottom w:val="single" w:sz="4" w:space="0" w:color="000000"/>
              <w:right w:val="single" w:sz="4" w:space="0" w:color="000000"/>
            </w:tcBorders>
          </w:tcPr>
          <w:p w:rsidR="00647ECE" w:rsidRDefault="00647ECE">
            <w:pPr>
              <w:pStyle w:val="Normal1"/>
              <w:spacing w:after="0" w:line="240" w:lineRule="auto"/>
              <w:rPr>
                <w:rFonts w:ascii="Arial" w:eastAsia="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47ECE" w:rsidRDefault="00647ECE">
            <w:pPr>
              <w:pStyle w:val="Normal1"/>
              <w:spacing w:after="0" w:line="240" w:lineRule="auto"/>
              <w:jc w:val="center"/>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47ECE" w:rsidRDefault="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47ECE" w:rsidRDefault="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647ECE" w:rsidRDefault="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tcPr>
          <w:p w:rsidR="00647ECE" w:rsidRDefault="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3969" w:type="dxa"/>
            <w:tcBorders>
              <w:top w:val="single" w:sz="4" w:space="0" w:color="000000"/>
              <w:left w:val="single" w:sz="4" w:space="0" w:color="000000"/>
              <w:bottom w:val="single" w:sz="4" w:space="0" w:color="000000"/>
              <w:right w:val="single" w:sz="4" w:space="0" w:color="000000"/>
            </w:tcBorders>
          </w:tcPr>
          <w:p w:rsidR="00647ECE" w:rsidRDefault="00647ECE" w:rsidP="00647ECE">
            <w:pPr>
              <w:pStyle w:val="Normal1"/>
              <w:spacing w:after="0" w:line="240" w:lineRule="auto"/>
              <w:rPr>
                <w:rFonts w:ascii="Arial" w:eastAsia="Arial" w:hAnsi="Arial" w:cs="Arial"/>
                <w:sz w:val="20"/>
                <w:szCs w:val="20"/>
              </w:rPr>
            </w:pPr>
            <w:r>
              <w:rPr>
                <w:rFonts w:ascii="Arial" w:eastAsia="Arial" w:hAnsi="Arial" w:cs="Arial"/>
                <w:sz w:val="20"/>
                <w:szCs w:val="20"/>
              </w:rPr>
              <w:t xml:space="preserve">Equipo: báscula pesabebés; esfigmomanómetro con brazalete para infantes y escolares; </w:t>
            </w:r>
            <w:proofErr w:type="spellStart"/>
            <w:r>
              <w:rPr>
                <w:rFonts w:ascii="Arial" w:eastAsia="Arial" w:hAnsi="Arial" w:cs="Arial"/>
                <w:sz w:val="20"/>
                <w:szCs w:val="20"/>
              </w:rPr>
              <w:t>infantómetro</w:t>
            </w:r>
            <w:proofErr w:type="spellEnd"/>
            <w:r>
              <w:rPr>
                <w:rFonts w:ascii="Arial" w:eastAsia="Arial" w:hAnsi="Arial" w:cs="Arial"/>
                <w:sz w:val="20"/>
                <w:szCs w:val="20"/>
              </w:rPr>
              <w:t xml:space="preserve"> (puede ser parte de la mesa de exploración); refrigerador de 4.5 pies cúbicos (cuando cuenten con servicio de vacunación).</w:t>
            </w:r>
          </w:p>
        </w:tc>
      </w:tr>
      <w:tr w:rsidR="00647ECE" w:rsidTr="008A719D">
        <w:trPr>
          <w:trHeight w:val="540"/>
        </w:trPr>
        <w:tc>
          <w:tcPr>
            <w:tcW w:w="2121" w:type="dxa"/>
            <w:tcBorders>
              <w:top w:val="single" w:sz="4" w:space="0" w:color="000000"/>
              <w:left w:val="single" w:sz="4" w:space="0" w:color="000000"/>
              <w:bottom w:val="single" w:sz="4" w:space="0" w:color="000000"/>
              <w:right w:val="single" w:sz="4" w:space="0" w:color="000000"/>
            </w:tcBorders>
          </w:tcPr>
          <w:p w:rsidR="00647ECE" w:rsidRDefault="00647ECE" w:rsidP="00647ECE">
            <w:pPr>
              <w:pStyle w:val="Normal1"/>
              <w:spacing w:after="0" w:line="240" w:lineRule="auto"/>
              <w:rPr>
                <w:rFonts w:ascii="Arial" w:eastAsia="Arial" w:hAnsi="Arial" w:cs="Arial"/>
                <w:sz w:val="20"/>
                <w:szCs w:val="20"/>
              </w:rPr>
            </w:pPr>
            <w:r>
              <w:rPr>
                <w:rFonts w:ascii="Arial" w:eastAsia="Arial" w:hAnsi="Arial" w:cs="Arial"/>
                <w:sz w:val="20"/>
                <w:szCs w:val="20"/>
              </w:rPr>
              <w:t>Materiales diversos</w:t>
            </w:r>
            <w:r>
              <w:rPr>
                <w:rFonts w:ascii="Arial" w:eastAsia="Arial" w:hAnsi="Arial" w:cs="Arial"/>
                <w:sz w:val="20"/>
                <w:szCs w:val="20"/>
                <w:vertAlign w:val="superscript"/>
              </w:rPr>
              <w:footnoteReference w:id="4"/>
            </w:r>
          </w:p>
        </w:tc>
        <w:tc>
          <w:tcPr>
            <w:tcW w:w="992" w:type="dxa"/>
            <w:tcBorders>
              <w:top w:val="single" w:sz="4" w:space="0" w:color="000000"/>
              <w:left w:val="single" w:sz="4" w:space="0" w:color="000000"/>
              <w:bottom w:val="single" w:sz="4" w:space="0" w:color="000000"/>
              <w:right w:val="single" w:sz="4" w:space="0" w:color="000000"/>
            </w:tcBorders>
            <w:vAlign w:val="center"/>
          </w:tcPr>
          <w:p w:rsidR="00647ECE" w:rsidRDefault="00647ECE" w:rsidP="00647ECE">
            <w:pPr>
              <w:pStyle w:val="Normal1"/>
              <w:spacing w:after="0" w:line="240" w:lineRule="auto"/>
              <w:jc w:val="center"/>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47ECE" w:rsidRDefault="00647ECE" w:rsidP="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47ECE" w:rsidRDefault="00647ECE" w:rsidP="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647ECE" w:rsidRDefault="00647ECE" w:rsidP="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tcPr>
          <w:p w:rsidR="00647ECE" w:rsidRDefault="00647ECE" w:rsidP="00647ECE">
            <w:pPr>
              <w:pStyle w:val="Normal1"/>
              <w:pBdr>
                <w:top w:val="nil"/>
                <w:left w:val="nil"/>
                <w:bottom w:val="nil"/>
                <w:right w:val="nil"/>
                <w:between w:val="nil"/>
              </w:pBdr>
              <w:spacing w:after="0" w:line="240" w:lineRule="auto"/>
              <w:ind w:left="360"/>
              <w:rPr>
                <w:rFonts w:ascii="Arial" w:eastAsia="Arial" w:hAnsi="Arial" w:cs="Arial"/>
                <w:color w:val="000000"/>
                <w:sz w:val="20"/>
                <w:szCs w:val="20"/>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647ECE" w:rsidRDefault="00647ECE" w:rsidP="00647ECE">
            <w:pPr>
              <w:pStyle w:val="Normal1"/>
              <w:spacing w:after="0" w:line="240" w:lineRule="auto"/>
              <w:rPr>
                <w:rFonts w:ascii="Arial" w:eastAsia="Arial" w:hAnsi="Arial" w:cs="Arial"/>
                <w:sz w:val="20"/>
                <w:szCs w:val="20"/>
              </w:rPr>
            </w:pPr>
            <w:r>
              <w:rPr>
                <w:rFonts w:ascii="Arial" w:eastAsia="Arial" w:hAnsi="Arial" w:cs="Arial"/>
                <w:sz w:val="20"/>
                <w:szCs w:val="20"/>
              </w:rPr>
              <w:t xml:space="preserve">Materiales de anestesia general; Anestesia epidural; Cánulas; Mascarillas; Monitoreo electrónico; Bisturís y hojas; Material para monitoreo de presión arterial; Material de monitoreo </w:t>
            </w:r>
            <w:proofErr w:type="spellStart"/>
            <w:r>
              <w:rPr>
                <w:rFonts w:ascii="Arial" w:eastAsia="Arial" w:hAnsi="Arial" w:cs="Arial"/>
                <w:sz w:val="20"/>
                <w:szCs w:val="20"/>
              </w:rPr>
              <w:t>cardio</w:t>
            </w:r>
            <w:proofErr w:type="spellEnd"/>
            <w:r>
              <w:rPr>
                <w:rFonts w:ascii="Arial" w:eastAsia="Arial" w:hAnsi="Arial" w:cs="Arial"/>
                <w:sz w:val="20"/>
                <w:szCs w:val="20"/>
              </w:rPr>
              <w:t xml:space="preserve">-respiratorio; Material de monitoreo cerebral; Electrocauterio; Material para sutura; Engrapadoras quirúrgicas; Materiales de rayos "x" e imágenes: Líquidos reveladores, fijadores y Reforzadores; Películas radiológicas, Medios de contraste; Material para resonancia magnética; Material para tomografía; Material para terapia respiratoria Material de laparoscopia, </w:t>
            </w:r>
            <w:proofErr w:type="spellStart"/>
            <w:r>
              <w:rPr>
                <w:rFonts w:ascii="Arial" w:eastAsia="Arial" w:hAnsi="Arial" w:cs="Arial"/>
                <w:sz w:val="20"/>
                <w:szCs w:val="20"/>
              </w:rPr>
              <w:t>toracoscopía</w:t>
            </w:r>
            <w:proofErr w:type="spellEnd"/>
            <w:r>
              <w:rPr>
                <w:rFonts w:ascii="Arial" w:eastAsia="Arial" w:hAnsi="Arial" w:cs="Arial"/>
                <w:sz w:val="20"/>
                <w:szCs w:val="20"/>
              </w:rPr>
              <w:t xml:space="preserve"> y Endoscopia Material de endoscopia intervencionista Material de curación Material para esterilización Otros: Sistemas de succión, sondas, sistemas completos de CPAP, ropa para cirugía, agujas, jeringas, catéteres, guantes, tubos, pinzas tijeras Material de curación Material de bioseguridad Sistemas de suplementación de oxígeno Resucitadores Antisépticos y desinfectantes</w:t>
            </w:r>
          </w:p>
        </w:tc>
      </w:tr>
    </w:tbl>
    <w:p w:rsidR="00C21794" w:rsidRDefault="00C21794"/>
    <w:p w:rsidR="00284790" w:rsidRDefault="00284790">
      <w:pPr>
        <w:pStyle w:val="Normal1"/>
        <w:spacing w:after="0" w:line="240" w:lineRule="auto"/>
      </w:pPr>
      <w:bookmarkStart w:id="0" w:name="_gjdgxs" w:colFirst="0" w:colLast="0"/>
      <w:bookmarkEnd w:id="0"/>
    </w:p>
    <w:p w:rsidR="00284790" w:rsidRDefault="00284790">
      <w:pPr>
        <w:pStyle w:val="Normal1"/>
        <w:spacing w:after="0" w:line="240" w:lineRule="auto"/>
        <w:rPr>
          <w:rFonts w:ascii="Indivisa Text Sans" w:eastAsia="Indivisa Text Sans" w:hAnsi="Indivisa Text Sans" w:cs="Indivisa Text Sans"/>
        </w:rPr>
      </w:pPr>
      <w:bookmarkStart w:id="1" w:name="_GoBack"/>
      <w:bookmarkEnd w:id="1"/>
    </w:p>
    <w:sectPr w:rsidR="00284790" w:rsidSect="00284790">
      <w:headerReference w:type="default" r:id="rId6"/>
      <w:footerReference w:type="default" r:id="rId7"/>
      <w:pgSz w:w="12240" w:h="15840"/>
      <w:pgMar w:top="567" w:right="1134" w:bottom="567" w:left="1134" w:header="6"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405" w:rsidRDefault="00610405" w:rsidP="00284790">
      <w:pPr>
        <w:spacing w:after="0" w:line="240" w:lineRule="auto"/>
      </w:pPr>
      <w:r>
        <w:separator/>
      </w:r>
    </w:p>
  </w:endnote>
  <w:endnote w:type="continuationSeparator" w:id="0">
    <w:p w:rsidR="00610405" w:rsidRDefault="00610405" w:rsidP="00284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Indivisa Text Sans">
    <w:altName w:val="Times New Roman"/>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90" w:rsidRDefault="00284790">
    <w:pPr>
      <w:pStyle w:val="Normal1"/>
      <w:pBdr>
        <w:top w:val="nil"/>
        <w:left w:val="nil"/>
        <w:bottom w:val="nil"/>
        <w:right w:val="nil"/>
        <w:between w:val="nil"/>
      </w:pBdr>
      <w:tabs>
        <w:tab w:val="center" w:pos="4419"/>
        <w:tab w:val="right" w:pos="8838"/>
      </w:tabs>
      <w:spacing w:after="0" w:line="240" w:lineRule="auto"/>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405" w:rsidRDefault="00610405" w:rsidP="00284790">
      <w:pPr>
        <w:spacing w:after="0" w:line="240" w:lineRule="auto"/>
      </w:pPr>
      <w:r>
        <w:separator/>
      </w:r>
    </w:p>
  </w:footnote>
  <w:footnote w:type="continuationSeparator" w:id="0">
    <w:p w:rsidR="00610405" w:rsidRDefault="00610405" w:rsidP="00284790">
      <w:pPr>
        <w:spacing w:after="0" w:line="240" w:lineRule="auto"/>
      </w:pPr>
      <w:r>
        <w:continuationSeparator/>
      </w:r>
    </w:p>
  </w:footnote>
  <w:footnote w:id="1">
    <w:p w:rsidR="00284790" w:rsidRDefault="004E6B1F">
      <w:pPr>
        <w:pStyle w:val="Normal1"/>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Iluminación NAT: Natural; ART: Artificial</w:t>
      </w:r>
    </w:p>
  </w:footnote>
  <w:footnote w:id="2">
    <w:p w:rsidR="00284790" w:rsidRDefault="004E6B1F">
      <w:pPr>
        <w:pStyle w:val="Normal1"/>
        <w:pBdr>
          <w:top w:val="nil"/>
          <w:left w:val="nil"/>
          <w:bottom w:val="nil"/>
          <w:right w:val="nil"/>
          <w:between w:val="nil"/>
        </w:pBdr>
        <w:spacing w:after="0" w:line="240" w:lineRule="auto"/>
        <w:rPr>
          <w:color w:val="000000"/>
          <w:sz w:val="20"/>
          <w:szCs w:val="20"/>
        </w:rPr>
      </w:pPr>
      <w:r>
        <w:rPr>
          <w:vertAlign w:val="superscript"/>
        </w:rPr>
        <w:footnoteRef/>
      </w:r>
      <w:r>
        <w:rPr>
          <w:color w:val="000000"/>
          <w:sz w:val="18"/>
          <w:szCs w:val="18"/>
        </w:rPr>
        <w:t>Ventilación NAT: Natural; ART: Artificial</w:t>
      </w:r>
    </w:p>
  </w:footnote>
  <w:footnote w:id="3">
    <w:p w:rsidR="00284790" w:rsidRDefault="004E6B1F">
      <w:pPr>
        <w:pStyle w:val="Normal1"/>
        <w:pBdr>
          <w:top w:val="nil"/>
          <w:left w:val="nil"/>
          <w:bottom w:val="nil"/>
          <w:right w:val="nil"/>
          <w:between w:val="nil"/>
        </w:pBdr>
        <w:spacing w:after="0" w:line="240" w:lineRule="auto"/>
        <w:rPr>
          <w:color w:val="000000"/>
          <w:sz w:val="18"/>
          <w:szCs w:val="18"/>
        </w:rPr>
      </w:pPr>
      <w:r>
        <w:rPr>
          <w:vertAlign w:val="superscript"/>
        </w:rPr>
        <w:footnoteRef/>
      </w:r>
      <w:r>
        <w:rPr>
          <w:color w:val="000000"/>
          <w:sz w:val="18"/>
          <w:szCs w:val="18"/>
        </w:rPr>
        <w:t>NORMA Oficial Mexicana NOM-005-SSA3-2010, Que establece los requisitos mínimos de infraestructura y equipamiento de establecimientos para la atención médica de pacientes ambulatorios.</w:t>
      </w:r>
    </w:p>
    <w:p w:rsidR="00284790" w:rsidRDefault="004E6B1F">
      <w:pPr>
        <w:pStyle w:val="Normal1"/>
        <w:pBdr>
          <w:top w:val="nil"/>
          <w:left w:val="nil"/>
          <w:bottom w:val="nil"/>
          <w:right w:val="nil"/>
          <w:between w:val="nil"/>
        </w:pBdr>
        <w:spacing w:after="0" w:line="240" w:lineRule="auto"/>
        <w:rPr>
          <w:color w:val="000000"/>
          <w:sz w:val="18"/>
          <w:szCs w:val="18"/>
        </w:rPr>
      </w:pPr>
      <w:r>
        <w:rPr>
          <w:color w:val="000000"/>
          <w:sz w:val="18"/>
          <w:szCs w:val="18"/>
        </w:rPr>
        <w:t>NORMA Oficial Mexicana NOM-016-SSA3-2012, Que establece las características mínimas de infraestructura y equipamiento de hospitales y consultorios de atención médica especializada.</w:t>
      </w:r>
    </w:p>
    <w:p w:rsidR="00284790" w:rsidRDefault="00284790">
      <w:pPr>
        <w:pStyle w:val="Normal1"/>
        <w:pBdr>
          <w:top w:val="nil"/>
          <w:left w:val="nil"/>
          <w:bottom w:val="nil"/>
          <w:right w:val="nil"/>
          <w:between w:val="nil"/>
        </w:pBdr>
        <w:spacing w:after="0" w:line="240" w:lineRule="auto"/>
        <w:rPr>
          <w:color w:val="000000"/>
          <w:sz w:val="18"/>
          <w:szCs w:val="18"/>
        </w:rPr>
      </w:pPr>
    </w:p>
    <w:p w:rsidR="00284790" w:rsidRDefault="00284790">
      <w:pPr>
        <w:pStyle w:val="Normal1"/>
        <w:spacing w:after="60" w:line="240" w:lineRule="auto"/>
        <w:rPr>
          <w:rFonts w:ascii="Arial" w:eastAsia="Arial" w:hAnsi="Arial" w:cs="Arial"/>
          <w:sz w:val="16"/>
          <w:szCs w:val="16"/>
        </w:rPr>
      </w:pPr>
    </w:p>
    <w:p w:rsidR="00284790" w:rsidRDefault="00284790">
      <w:pPr>
        <w:pStyle w:val="Normal1"/>
        <w:pBdr>
          <w:top w:val="nil"/>
          <w:left w:val="nil"/>
          <w:bottom w:val="nil"/>
          <w:right w:val="nil"/>
          <w:between w:val="nil"/>
        </w:pBdr>
        <w:spacing w:after="0" w:line="240" w:lineRule="auto"/>
        <w:rPr>
          <w:color w:val="000000"/>
          <w:sz w:val="20"/>
          <w:szCs w:val="20"/>
        </w:rPr>
      </w:pPr>
    </w:p>
  </w:footnote>
  <w:footnote w:id="4">
    <w:p w:rsidR="00647ECE" w:rsidRDefault="00647ECE" w:rsidP="00647ECE">
      <w:pPr>
        <w:pStyle w:val="Normal1"/>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apartado no perteneciente a la norma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90" w:rsidRDefault="00284790">
    <w:pPr>
      <w:pStyle w:val="Normal1"/>
      <w:pBdr>
        <w:top w:val="nil"/>
        <w:left w:val="nil"/>
        <w:bottom w:val="nil"/>
        <w:right w:val="nil"/>
        <w:between w:val="nil"/>
      </w:pBdr>
      <w:tabs>
        <w:tab w:val="center" w:pos="4419"/>
        <w:tab w:val="right" w:pos="8838"/>
      </w:tabs>
      <w:spacing w:after="0" w:line="240" w:lineRule="auto"/>
      <w:ind w:left="-720"/>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790"/>
    <w:rsid w:val="001164C8"/>
    <w:rsid w:val="00284790"/>
    <w:rsid w:val="002F1B50"/>
    <w:rsid w:val="004E6B1F"/>
    <w:rsid w:val="00610405"/>
    <w:rsid w:val="00647ECE"/>
    <w:rsid w:val="007F26A8"/>
    <w:rsid w:val="00C217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60511"/>
  <w15:docId w15:val="{8D83BCA1-BD20-4AAB-A5AF-67F3C2BE0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1"/>
    <w:next w:val="Normal1"/>
    <w:rsid w:val="00284790"/>
    <w:pPr>
      <w:keepNext/>
      <w:keepLines/>
      <w:spacing w:before="480" w:after="120"/>
      <w:outlineLvl w:val="0"/>
    </w:pPr>
    <w:rPr>
      <w:b/>
      <w:sz w:val="48"/>
      <w:szCs w:val="48"/>
    </w:rPr>
  </w:style>
  <w:style w:type="paragraph" w:styleId="Ttulo2">
    <w:name w:val="heading 2"/>
    <w:basedOn w:val="Normal1"/>
    <w:next w:val="Normal1"/>
    <w:rsid w:val="00284790"/>
    <w:pPr>
      <w:keepNext/>
      <w:keepLines/>
      <w:spacing w:before="360" w:after="80"/>
      <w:outlineLvl w:val="1"/>
    </w:pPr>
    <w:rPr>
      <w:b/>
      <w:sz w:val="36"/>
      <w:szCs w:val="36"/>
    </w:rPr>
  </w:style>
  <w:style w:type="paragraph" w:styleId="Ttulo3">
    <w:name w:val="heading 3"/>
    <w:basedOn w:val="Normal1"/>
    <w:next w:val="Normal1"/>
    <w:rsid w:val="00284790"/>
    <w:pPr>
      <w:keepNext/>
      <w:keepLines/>
      <w:spacing w:before="280" w:after="80"/>
      <w:outlineLvl w:val="2"/>
    </w:pPr>
    <w:rPr>
      <w:b/>
      <w:sz w:val="28"/>
      <w:szCs w:val="28"/>
    </w:rPr>
  </w:style>
  <w:style w:type="paragraph" w:styleId="Ttulo4">
    <w:name w:val="heading 4"/>
    <w:basedOn w:val="Normal1"/>
    <w:next w:val="Normal1"/>
    <w:rsid w:val="00284790"/>
    <w:pPr>
      <w:keepNext/>
      <w:keepLines/>
      <w:spacing w:before="240" w:after="40"/>
      <w:outlineLvl w:val="3"/>
    </w:pPr>
    <w:rPr>
      <w:b/>
      <w:sz w:val="24"/>
      <w:szCs w:val="24"/>
    </w:rPr>
  </w:style>
  <w:style w:type="paragraph" w:styleId="Ttulo5">
    <w:name w:val="heading 5"/>
    <w:basedOn w:val="Normal1"/>
    <w:next w:val="Normal1"/>
    <w:rsid w:val="00284790"/>
    <w:pPr>
      <w:keepNext/>
      <w:keepLines/>
      <w:spacing w:before="220" w:after="40"/>
      <w:outlineLvl w:val="4"/>
    </w:pPr>
    <w:rPr>
      <w:b/>
    </w:rPr>
  </w:style>
  <w:style w:type="paragraph" w:styleId="Ttulo6">
    <w:name w:val="heading 6"/>
    <w:basedOn w:val="Normal1"/>
    <w:next w:val="Normal1"/>
    <w:rsid w:val="00284790"/>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284790"/>
  </w:style>
  <w:style w:type="table" w:customStyle="1" w:styleId="TableNormal">
    <w:name w:val="Table Normal"/>
    <w:rsid w:val="00284790"/>
    <w:tblPr>
      <w:tblCellMar>
        <w:top w:w="0" w:type="dxa"/>
        <w:left w:w="0" w:type="dxa"/>
        <w:bottom w:w="0" w:type="dxa"/>
        <w:right w:w="0" w:type="dxa"/>
      </w:tblCellMar>
    </w:tblPr>
  </w:style>
  <w:style w:type="paragraph" w:styleId="Ttulo">
    <w:name w:val="Title"/>
    <w:basedOn w:val="Normal1"/>
    <w:next w:val="Normal1"/>
    <w:rsid w:val="00284790"/>
    <w:pPr>
      <w:keepNext/>
      <w:keepLines/>
      <w:spacing w:before="480" w:after="120"/>
    </w:pPr>
    <w:rPr>
      <w:b/>
      <w:sz w:val="72"/>
      <w:szCs w:val="72"/>
    </w:rPr>
  </w:style>
  <w:style w:type="paragraph" w:styleId="Subttulo">
    <w:name w:val="Subtitle"/>
    <w:basedOn w:val="Normal1"/>
    <w:next w:val="Normal1"/>
    <w:rsid w:val="00284790"/>
    <w:pPr>
      <w:keepNext/>
      <w:keepLines/>
      <w:spacing w:before="360" w:after="80"/>
    </w:pPr>
    <w:rPr>
      <w:rFonts w:ascii="Georgia" w:eastAsia="Georgia" w:hAnsi="Georgia" w:cs="Georgia"/>
      <w:i/>
      <w:color w:val="666666"/>
      <w:sz w:val="48"/>
      <w:szCs w:val="48"/>
    </w:rPr>
  </w:style>
  <w:style w:type="table" w:customStyle="1" w:styleId="a">
    <w:basedOn w:val="TableNormal"/>
    <w:rsid w:val="00284790"/>
    <w:tblPr>
      <w:tblStyleRowBandSize w:val="1"/>
      <w:tblStyleColBandSize w:val="1"/>
      <w:tblCellMar>
        <w:left w:w="108" w:type="dxa"/>
        <w:right w:w="108" w:type="dxa"/>
      </w:tblCellMar>
    </w:tblPr>
  </w:style>
  <w:style w:type="table" w:customStyle="1" w:styleId="a0">
    <w:basedOn w:val="TableNormal"/>
    <w:rsid w:val="00284790"/>
    <w:tblPr>
      <w:tblStyleRowBandSize w:val="1"/>
      <w:tblStyleColBandSize w:val="1"/>
      <w:tblCellMar>
        <w:left w:w="108" w:type="dxa"/>
        <w:right w:w="108" w:type="dxa"/>
      </w:tblCellMar>
    </w:tblPr>
  </w:style>
  <w:style w:type="table" w:customStyle="1" w:styleId="a1">
    <w:basedOn w:val="TableNormal"/>
    <w:rsid w:val="0028479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579</Words>
  <Characters>3187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Emelia Rodriguez</dc:creator>
  <cp:lastModifiedBy>Jessica Zaragoza</cp:lastModifiedBy>
  <cp:revision>3</cp:revision>
  <cp:lastPrinted>2019-04-08T13:31:00Z</cp:lastPrinted>
  <dcterms:created xsi:type="dcterms:W3CDTF">2019-08-09T23:09:00Z</dcterms:created>
  <dcterms:modified xsi:type="dcterms:W3CDTF">2019-08-15T16:43:00Z</dcterms:modified>
</cp:coreProperties>
</file>